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28AD8" w14:textId="5EC15212" w:rsidR="00306D7D" w:rsidRPr="00B87FA6" w:rsidRDefault="00306D7D" w:rsidP="00B87FA6">
      <w:pPr>
        <w:spacing w:after="0"/>
        <w:jc w:val="center"/>
        <w:rPr>
          <w:b/>
          <w:color w:val="ED7D31" w:themeColor="accent2"/>
          <w:sz w:val="28"/>
        </w:rPr>
      </w:pPr>
      <w:bookmarkStart w:id="0" w:name="_GoBack"/>
      <w:bookmarkEnd w:id="0"/>
      <w:r w:rsidRPr="00B87FA6">
        <w:rPr>
          <w:b/>
          <w:color w:val="ED7D31" w:themeColor="accent2"/>
          <w:sz w:val="28"/>
        </w:rPr>
        <w:t>Sekuritizace z pohledu nové legislativy</w:t>
      </w:r>
    </w:p>
    <w:p w14:paraId="5F78058A" w14:textId="77777777" w:rsidR="00E835E5" w:rsidRDefault="00E835E5" w:rsidP="00CA0ADD">
      <w:pPr>
        <w:jc w:val="both"/>
        <w:rPr>
          <w:i/>
        </w:rPr>
      </w:pPr>
    </w:p>
    <w:p w14:paraId="66DB04FB" w14:textId="4FF36AAE" w:rsidR="00BE052E" w:rsidRDefault="00CA0ADD" w:rsidP="00CA0ADD">
      <w:pPr>
        <w:jc w:val="both"/>
        <w:rPr>
          <w:i/>
        </w:rPr>
      </w:pPr>
      <w:r w:rsidRPr="006D7737">
        <w:rPr>
          <w:i/>
        </w:rPr>
        <w:t>Z hlediska strukturovaného financování je sekuritizace technikou spočívající v převodu aktiv na účel</w:t>
      </w:r>
      <w:r w:rsidR="00E835E5">
        <w:rPr>
          <w:i/>
        </w:rPr>
        <w:t>ov</w:t>
      </w:r>
      <w:r w:rsidRPr="006D7737">
        <w:rPr>
          <w:i/>
        </w:rPr>
        <w:t>ě zřízenou entitu (dále jako „</w:t>
      </w:r>
      <w:r w:rsidRPr="006D7737">
        <w:rPr>
          <w:b/>
          <w:i/>
        </w:rPr>
        <w:t>SPV</w:t>
      </w:r>
      <w:r w:rsidRPr="006D7737">
        <w:rPr>
          <w:i/>
        </w:rPr>
        <w:t xml:space="preserve">“) a emisi jejích dluhopisů, kdy </w:t>
      </w:r>
      <w:r w:rsidR="004319AC">
        <w:rPr>
          <w:i/>
        </w:rPr>
        <w:t xml:space="preserve">je výnos investorů vázán na cash-flow z podkladových aktiv. </w:t>
      </w:r>
      <w:r w:rsidRPr="006D7737">
        <w:rPr>
          <w:i/>
        </w:rPr>
        <w:t>V evropském kontextu se jedná primárně o transakce či systémy transakcí, které rozkládají úvěrové riziko související s jednou či více expozic do tranší, kdy jednotliv</w:t>
      </w:r>
      <w:r w:rsidR="00E835E5">
        <w:rPr>
          <w:i/>
        </w:rPr>
        <w:t>á</w:t>
      </w:r>
      <w:r w:rsidRPr="006D7737">
        <w:rPr>
          <w:i/>
        </w:rPr>
        <w:t xml:space="preserve"> cash-flow v rámci transakce či systému transakcí závisejí na výkonnosti podkladového aktiva a kdy seniorita jednotlivých tranší určuje rozložení ztrát po dobu trvání transakce mezi investory. Seniorní tranše s vyšším ratingem mají vůči mez</w:t>
      </w:r>
      <w:r w:rsidR="001C2C0C">
        <w:rPr>
          <w:i/>
        </w:rPr>
        <w:t>z</w:t>
      </w:r>
      <w:r w:rsidRPr="006D7737">
        <w:rPr>
          <w:i/>
        </w:rPr>
        <w:t>aninovým a juniorním tranším lepší postaven</w:t>
      </w:r>
      <w:r w:rsidR="00E835E5">
        <w:rPr>
          <w:i/>
        </w:rPr>
        <w:t>í</w:t>
      </w:r>
      <w:r w:rsidRPr="006D7737">
        <w:rPr>
          <w:i/>
        </w:rPr>
        <w:t xml:space="preserve"> z důvodu prioritních výplat investorům v případě defaultu podkladového aktiva, což je samozřejmě vyváženo nižšími potenciálními výnosy. S ohledem na ekonomický vývoj posledních let se doposud nepodařilo v objemu transakcí navázat na předkrizová léta, a to z logických důvodů, kdy na evropské úrovni jsou vyhledávány především „jednodušší produkty“, a zároveň došlo k poklesu zejména syntetických sekuritizací, které mimo jiné nejsou založeny na true</w:t>
      </w:r>
      <w:r w:rsidR="00E835E5">
        <w:rPr>
          <w:i/>
        </w:rPr>
        <w:t>-</w:t>
      </w:r>
      <w:r w:rsidRPr="006D7737">
        <w:rPr>
          <w:i/>
        </w:rPr>
        <w:t>sale podkladového aktiva, nejčastěji pohledávek</w:t>
      </w:r>
      <w:r w:rsidR="00B3462A">
        <w:rPr>
          <w:i/>
        </w:rPr>
        <w:t xml:space="preserve"> z obchodního styku, půjček apod.</w:t>
      </w:r>
      <w:r w:rsidRPr="006D7737">
        <w:rPr>
          <w:i/>
        </w:rPr>
        <w:t>, na SPV, ale dochází pouze k převodu úvěrového rizika pomocí kreditních derivátů.</w:t>
      </w:r>
    </w:p>
    <w:p w14:paraId="328B4655" w14:textId="241601DF" w:rsidR="00306D7D" w:rsidRPr="006D7737" w:rsidRDefault="00306D7D" w:rsidP="00CA0ADD">
      <w:pPr>
        <w:jc w:val="both"/>
        <w:rPr>
          <w:i/>
        </w:rPr>
      </w:pPr>
      <w:r>
        <w:rPr>
          <w:rFonts w:ascii="Arial Narrow" w:hAnsi="Arial Narrow"/>
          <w:noProof/>
          <w:sz w:val="16"/>
          <w:szCs w:val="16"/>
          <w:lang w:eastAsia="cs-CZ"/>
        </w:rPr>
        <w:drawing>
          <wp:inline distT="0" distB="0" distL="0" distR="0" wp14:anchorId="7B529D6D" wp14:editId="295718C4">
            <wp:extent cx="1133475" cy="1136126"/>
            <wp:effectExtent l="0" t="0" r="0" b="698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rtn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A01F7" w14:textId="77777777" w:rsidR="00E835E5" w:rsidRDefault="006D7737" w:rsidP="00CA0ADD">
      <w:pPr>
        <w:jc w:val="both"/>
      </w:pPr>
      <w:r>
        <w:t>Důvody, proč se původce rozhodne pro sekuritizaci aktiv, jsou zejména snížení expozice vůči rizikům, zajištění levnějšího i alternativního financování oproti klasické emisi dluhopisů, což je zejména výhodné pro společnosti s nižším ratingem</w:t>
      </w:r>
      <w:r w:rsidR="00E835E5">
        <w:t>,</w:t>
      </w:r>
      <w:r>
        <w:t xml:space="preserve"> ale s kvalitním portfoliem pohledávek, jakož i nepochybně ozdravení účetních výkazů. Na druhou stranu jsou tyto benefity vyváženy vysokými transakčními náklady a nutností řádného technicky precizního postupu a pečlivého nastavení mechanismů v transakční dokumentaci. </w:t>
      </w:r>
    </w:p>
    <w:p w14:paraId="6BDD1C0D" w14:textId="51A438A4" w:rsidR="00CA0ADD" w:rsidRDefault="006D7737" w:rsidP="00CA0ADD">
      <w:pPr>
        <w:jc w:val="both"/>
      </w:pPr>
      <w:r>
        <w:t xml:space="preserve">Doposud byla úprava </w:t>
      </w:r>
      <w:r w:rsidR="002C4723">
        <w:t>sekuritizace</w:t>
      </w:r>
      <w:r>
        <w:t xml:space="preserve"> roztříštěna v rámci sekundárního práva Evropské unie zejména mezi CRD (2013/36/EU), CRR (575/2013</w:t>
      </w:r>
      <w:r w:rsidR="00A4182B">
        <w:t>/EU</w:t>
      </w:r>
      <w:r>
        <w:t xml:space="preserve">) a AIFMD (2011/61/EU). V rámci posledních legislativních změn došlo k přijetí nařízení </w:t>
      </w:r>
      <w:r>
        <w:rPr>
          <w:i/>
        </w:rPr>
        <w:t xml:space="preserve">Evropského parlamentu a Rady EU/2017/2402 ze dne 12. prosince 2017, kterým se stanoví obecný rámec pro sekuritizaci a vytváří zvláštní rámec pro jednoduchou, transparentní a standardizovanou sekuritizaci a </w:t>
      </w:r>
      <w:r>
        <w:rPr>
          <w:i/>
        </w:rPr>
        <w:lastRenderedPageBreak/>
        <w:t xml:space="preserve">kterým se mění směrnice 2009/65/ES, 2009/138/ES, a nařízení ES/1060/2009 a EU/648/2012, </w:t>
      </w:r>
      <w:r w:rsidR="002766B0">
        <w:t xml:space="preserve">a to </w:t>
      </w:r>
      <w:r w:rsidRPr="006D7737">
        <w:t>s účinností od 1. ledna 2019 (dále jako „</w:t>
      </w:r>
      <w:r w:rsidRPr="006D7737">
        <w:rPr>
          <w:b/>
        </w:rPr>
        <w:t>Nařízení</w:t>
      </w:r>
      <w:r w:rsidRPr="006D7737">
        <w:t>“).</w:t>
      </w:r>
      <w:r w:rsidR="0016587A">
        <w:t xml:space="preserve"> Ve spojení s</w:t>
      </w:r>
      <w:r w:rsidR="002766B0">
        <w:t>e směrnicí</w:t>
      </w:r>
      <w:r w:rsidR="0016587A">
        <w:t xml:space="preserve"> MiFID II, </w:t>
      </w:r>
      <w:r w:rsidR="00A4182B">
        <w:t>kter</w:t>
      </w:r>
      <w:r w:rsidR="002766B0">
        <w:t>á</w:t>
      </w:r>
      <w:r w:rsidR="00A4182B">
        <w:t xml:space="preserve"> měl</w:t>
      </w:r>
      <w:r w:rsidR="002766B0">
        <w:t>a</w:t>
      </w:r>
      <w:r w:rsidR="0016587A">
        <w:t xml:space="preserve"> být řádně transponována do 3. 1. 2018, je nepochybně další velkou změnou. Co se týče geneze Nařízení, tak ve své podstatě navazuje na konzultační materiály </w:t>
      </w:r>
      <w:r w:rsidR="0016587A" w:rsidRPr="002C4723">
        <w:rPr>
          <w:i/>
        </w:rPr>
        <w:t>Basel Committee for Banking Supervision</w:t>
      </w:r>
      <w:r w:rsidR="0016587A">
        <w:t xml:space="preserve"> a </w:t>
      </w:r>
      <w:r w:rsidR="0016587A" w:rsidRPr="002C4723">
        <w:rPr>
          <w:i/>
        </w:rPr>
        <w:t>International Organization for Securities Commissions</w:t>
      </w:r>
      <w:r w:rsidR="0016587A">
        <w:t xml:space="preserve">, a to zejména na dokument </w:t>
      </w:r>
      <w:r w:rsidR="0016587A">
        <w:rPr>
          <w:i/>
        </w:rPr>
        <w:t>Criteria for</w:t>
      </w:r>
      <w:r w:rsidR="00FC652E">
        <w:rPr>
          <w:i/>
        </w:rPr>
        <w:t xml:space="preserve"> Identifying</w:t>
      </w:r>
      <w:r w:rsidR="0016587A">
        <w:rPr>
          <w:i/>
        </w:rPr>
        <w:t xml:space="preserve"> Simple, Transparent and </w:t>
      </w:r>
      <w:r w:rsidR="00FC652E">
        <w:rPr>
          <w:i/>
        </w:rPr>
        <w:t xml:space="preserve">Comparable Securitisations </w:t>
      </w:r>
      <w:r w:rsidR="0016587A">
        <w:t>vydaný Bankou pro mezinárodní vyrovnání</w:t>
      </w:r>
      <w:r w:rsidR="00FC652E">
        <w:t xml:space="preserve"> již roku 2015, v němž je ukotveno 14 kritérií pro zajištění sekuritizace tzv. jednoduché, transparentní a standardizované, tedy obdobně jako v Nařízení.</w:t>
      </w:r>
    </w:p>
    <w:p w14:paraId="0101AFD6" w14:textId="26DA9825" w:rsidR="00FC652E" w:rsidRDefault="00FC652E" w:rsidP="00CA0ADD">
      <w:pPr>
        <w:jc w:val="both"/>
      </w:pPr>
      <w:r>
        <w:t>Z hlediska personální působnosti se Nařízení vztahuje na všechny účastníky sekuritizačních transakcí, tedy institucionální investory, původce, sponzory, původní věřitele a SPV. SPV nemohou mít pro účely sekuritizace sídlo ve třetím státě, je-li takový stát na seznamu rizikových teritorií FATF anebo pokud takový stát nesplňuje kritéria ukotvená úmluvami OECD ve vztahu k výměnám informací o daňových záležitostech, a to zejména s ohledem na problematiku legalizace výnosů z trestné činnosti. Nařízení ukotvuje a definuje klíčové pojmy vztahující se k sekuritizačním transakcím</w:t>
      </w:r>
      <w:r w:rsidR="002766B0">
        <w:t>,</w:t>
      </w:r>
      <w:r>
        <w:t xml:space="preserve"> jakož i zavádí vyšší požadavky ve vztahu k B2C investicím do jednotlivých tranší.</w:t>
      </w:r>
    </w:p>
    <w:p w14:paraId="556CA674" w14:textId="2B0B987D" w:rsidR="009D0E54" w:rsidRDefault="00FC652E" w:rsidP="00CA0ADD">
      <w:pPr>
        <w:jc w:val="both"/>
      </w:pPr>
      <w:r>
        <w:t xml:space="preserve">Co se týče obecných podmínek aplikovaných na veškeré typy sekuritizací, jde primárně o zavedení vyššího množství požadavků na investory. Požadavky náležité péče jsou ukotveny zejména vůči institucionálním investorům a jejich zamýšleným akvizicím cenných papírů SPV, a to hlavně s ohledem na řádné provedení due diligence a posouzení úvěrových rizik spojených s jednotlivými podkladovými aktivy, specifiky tranší, prioritou plateb apod. Původce, sponzor, anebo původní věřitel jsou si povinni ponechat v sekuritizaci tzv. </w:t>
      </w:r>
      <w:r>
        <w:rPr>
          <w:i/>
        </w:rPr>
        <w:t>podstatný čistý ekonomický podíl</w:t>
      </w:r>
      <w:r>
        <w:t xml:space="preserve">, a to nejméně ve výši 5 %. </w:t>
      </w:r>
      <w:r w:rsidR="009D0E54">
        <w:t>Podíl se stanoví podle nominální hodnoty podrozvahových položek a musí být ponechán z každé tranše prodané investorům</w:t>
      </w:r>
      <w:r w:rsidR="0056345A">
        <w:t xml:space="preserve">; </w:t>
      </w:r>
      <w:r w:rsidR="009D0E54">
        <w:t>např. v případě revolvingových sekuritizací značí ponechání si podílu</w:t>
      </w:r>
      <w:r w:rsidR="00B441E5">
        <w:t xml:space="preserve"> </w:t>
      </w:r>
      <w:r w:rsidR="009D0E54">
        <w:t>v každé ze sekuritizovaných pozic. Dále jsou ukotveny požadavky na jednotlivé původce, sponzory a SPV s ohledem na informace, které jsou tyto subjekty povinny sdělovat investorům a orgánům dohledu, a to např. o podkladových aktivech, struktuře transakce, transakční dokumentaci, prioritě plateb apod. Tyto informace jsou povinny předávat investorům a relevantním orgánům na základě čtvrtletních zpráv; v případě komerčních papírů zajištěných aktivy (dále jako „</w:t>
      </w:r>
      <w:r w:rsidR="009D0E54">
        <w:rPr>
          <w:b/>
        </w:rPr>
        <w:t>ABCP</w:t>
      </w:r>
      <w:r w:rsidR="009D0E54">
        <w:t xml:space="preserve">“´) měsíčních zpráv. Původce, sponzor anebo SPV si určí mezi sebou subjekt, který bude plnit informační povinnost vůči investorům a </w:t>
      </w:r>
      <w:r w:rsidR="009D0E54">
        <w:lastRenderedPageBreak/>
        <w:t>orgánům dohledu. Informace o sekuritizacích budou zároveň evidovány v registru sekuritizací zřízeného u Evropského orgánu pro cenné papíry a trh (dále jako „</w:t>
      </w:r>
      <w:r w:rsidR="009D0E54">
        <w:rPr>
          <w:b/>
        </w:rPr>
        <w:t>ESMA</w:t>
      </w:r>
      <w:r w:rsidR="009D0E54">
        <w:t>“). Spolu s tím je ESMA pověřena vypracováním regulačních technických norem (dále jako „</w:t>
      </w:r>
      <w:r w:rsidR="009D0E54">
        <w:rPr>
          <w:b/>
        </w:rPr>
        <w:t>RTS</w:t>
      </w:r>
      <w:r w:rsidR="009D0E54">
        <w:t xml:space="preserve">“), jak již bývá </w:t>
      </w:r>
      <w:r w:rsidR="00B67F27">
        <w:t xml:space="preserve">zvykem s ohledem na předchozí legislativu týkající se kapitálových trhů. Závěrečnou obecnou podmínkou je ukotvení </w:t>
      </w:r>
      <w:r w:rsidR="00B67F27">
        <w:rPr>
          <w:i/>
        </w:rPr>
        <w:t>zákazu resekuritizace</w:t>
      </w:r>
      <w:r w:rsidR="00B67F27">
        <w:t xml:space="preserve">, tedy že samotná podkladová aktiva nesmí obsahovat sekuritizaci. Povolená je pouze v případě tzv. </w:t>
      </w:r>
      <w:r w:rsidR="00B67F27">
        <w:rPr>
          <w:i/>
        </w:rPr>
        <w:t>legitimního účelu</w:t>
      </w:r>
      <w:r w:rsidR="00B67F27">
        <w:t>, tedy pro usnadnění likvidace úvěrové či finanční instituce anebo investičního podniku, zajištění životaschopnosti takové instituce nebo podniku s cílem zabránit likvidaci, anebo pro zachování zájmu investorů v případě nevýkonných podkladových aktiv.</w:t>
      </w:r>
    </w:p>
    <w:p w14:paraId="1522B246" w14:textId="0FBF8D38" w:rsidR="00B67F27" w:rsidRDefault="00B67F27" w:rsidP="00CA0ADD">
      <w:pPr>
        <w:jc w:val="both"/>
      </w:pPr>
      <w:r>
        <w:t>Dále jsou ukotveny</w:t>
      </w:r>
      <w:r w:rsidR="00E176E4">
        <w:t xml:space="preserve"> konkrétní</w:t>
      </w:r>
      <w:r>
        <w:t xml:space="preserve"> požadavky na jednoduchou, transparentní a standardizovanou sekuritizaci (dále jako „</w:t>
      </w:r>
      <w:r>
        <w:rPr>
          <w:b/>
        </w:rPr>
        <w:t>STS Sekuritizace</w:t>
      </w:r>
      <w:r>
        <w:t>“) a jednoduchou, transparentní a standardizovanou sekuritizaci ABCP (dále jako „</w:t>
      </w:r>
      <w:r>
        <w:rPr>
          <w:b/>
        </w:rPr>
        <w:t>STS ABCP</w:t>
      </w:r>
      <w:r>
        <w:t>“). Těchto dohromady přibližně 50 kritérií pro jednoduché, transparentní a standardizované transakce se věnuj</w:t>
      </w:r>
      <w:r w:rsidR="00E176E4">
        <w:t>e</w:t>
      </w:r>
      <w:r>
        <w:t xml:space="preserve"> spíše struktuře a procesu vzniku transakce, než samotným požadavkům na podkladová aktiva vzhledem k výkonnosti či rizikům spojených s takovými aktivy. Za zmínku stojí například homogenita podkladových aktiv z hlediska úvěrového rizika, typu</w:t>
      </w:r>
      <w:r w:rsidR="00F17EAF">
        <w:t>, smluvních charakteristik</w:t>
      </w:r>
      <w:r>
        <w:t>, cash-flow, předčasného splacení apod. Pro STS Sekuritizaci i pro STS ABCP jsou kritéria v podstatě stejná, byť samozřejmě s určitými rozdíly vzhledem k tržním specifikům těchto dvou transakčních modelů. V případě STS ABCP stojí za zmínku</w:t>
      </w:r>
      <w:r w:rsidR="00DE470E">
        <w:t xml:space="preserve"> fakt, že podkladové </w:t>
      </w:r>
      <w:r w:rsidR="009842D8">
        <w:t>aktivum</w:t>
      </w:r>
      <w:r w:rsidR="00DE470E">
        <w:t xml:space="preserve"> STS ABCP nesmí tvořit půjčky zajištěné hypotečními úvěry na obytné nebo komerční nemovitosti; podkladové aktivum musí tvořit dluhy smluvně závazné a s vymahatelným právem plného postihu dlužníka a s jasně definovanými peněžními toky související s pronájmem, jistinou, úroky anebo jakýmkoliv jiným právem na příjem z aktiv.</w:t>
      </w:r>
      <w:r w:rsidR="009842D8">
        <w:t xml:space="preserve"> V případě STS ABCP je sponzor povinen poskytnout likvidní příslib, tedy krýt veškerá rizika likvidity a úvěrová rizika, ve vztahu investorům.</w:t>
      </w:r>
    </w:p>
    <w:p w14:paraId="5B1824E2" w14:textId="77777777" w:rsidR="00B262EA" w:rsidRDefault="00602E15" w:rsidP="00CA0ADD">
      <w:pPr>
        <w:jc w:val="both"/>
      </w:pPr>
      <w:r>
        <w:t>Původci i sponzoři mají dále povinnost oznámit orgánu dohledu ESMA, že splňují kritéria STS a určit subjekt pro komunikaci s relevantními orgány dohledu a investory. V případě nedbalostního či úmyslného porušení povinností v Nařízení hrozí správní sankce původci, sponzorovi, původnímu věřiteli či sekuritizační jednotce. Zároveň je k diskreci členských států za určitých okolností i uvalení trestních sankcí za porušení klíčových ustanovení Nařízení, namísto sankce správní</w:t>
      </w:r>
      <w:r w:rsidRPr="00602E15">
        <w:t>.</w:t>
      </w:r>
      <w:r w:rsidR="00CF0014">
        <w:t xml:space="preserve"> </w:t>
      </w:r>
      <w:r>
        <w:t>Notifikace investorů i orgánu dohledu</w:t>
      </w:r>
      <w:r w:rsidR="00CF0014">
        <w:t xml:space="preserve"> je na zvláš</w:t>
      </w:r>
      <w:r w:rsidR="00DE470E">
        <w:t>t</w:t>
      </w:r>
      <w:r w:rsidR="00CF0014">
        <w:t>ním formuláři, k jehož vytvoření je zmocněna ESMA.</w:t>
      </w:r>
    </w:p>
    <w:p w14:paraId="6663E9E3" w14:textId="27B87235" w:rsidR="00B87FA6" w:rsidRPr="00B67F27" w:rsidRDefault="00B262EA" w:rsidP="00B87FA6">
      <w:pPr>
        <w:jc w:val="both"/>
      </w:pPr>
      <w:r>
        <w:lastRenderedPageBreak/>
        <w:t>Ukotvení sekuritizace zakládá nový legislativní pilíř jednotného evropského kapitálového trhu. Nařízení oproti předchozí úpravě obsahuje ucelenou a jednotnou úpravu této problematiky, tudíž z hlediska jednotnosti a přehlednosti je nepochybně výhodou. S ohledem na některá vágní, nejednoznačná a nekonkrétní ustanovení se dá v budoucnu očekávat další změna Nařízení či jednoznačnější úprava skrze výše uvedená RTS.</w:t>
      </w:r>
    </w:p>
    <w:p w14:paraId="02D30E32" w14:textId="5D33D904" w:rsidR="00B262EA" w:rsidRPr="00B67F27" w:rsidRDefault="00B262EA" w:rsidP="00B262EA">
      <w:pPr>
        <w:jc w:val="both"/>
      </w:pPr>
    </w:p>
    <w:sectPr w:rsidR="00B262EA" w:rsidRPr="00B6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66D1"/>
    <w:multiLevelType w:val="hybridMultilevel"/>
    <w:tmpl w:val="724E92C2"/>
    <w:lvl w:ilvl="0" w:tplc="AFAC08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40"/>
    <w:rsid w:val="0016587A"/>
    <w:rsid w:val="001C2C0C"/>
    <w:rsid w:val="002766B0"/>
    <w:rsid w:val="002C4723"/>
    <w:rsid w:val="00306D7D"/>
    <w:rsid w:val="004319AC"/>
    <w:rsid w:val="00527A15"/>
    <w:rsid w:val="0056345A"/>
    <w:rsid w:val="005A6D40"/>
    <w:rsid w:val="005D25D2"/>
    <w:rsid w:val="00602E15"/>
    <w:rsid w:val="006D7737"/>
    <w:rsid w:val="009842D8"/>
    <w:rsid w:val="009D0E54"/>
    <w:rsid w:val="00A4182B"/>
    <w:rsid w:val="00B262EA"/>
    <w:rsid w:val="00B3462A"/>
    <w:rsid w:val="00B441E5"/>
    <w:rsid w:val="00B67F27"/>
    <w:rsid w:val="00B87FA6"/>
    <w:rsid w:val="00BE052E"/>
    <w:rsid w:val="00CA0ADD"/>
    <w:rsid w:val="00CF0014"/>
    <w:rsid w:val="00D75708"/>
    <w:rsid w:val="00DE470E"/>
    <w:rsid w:val="00E176E4"/>
    <w:rsid w:val="00E835E5"/>
    <w:rsid w:val="00E9256D"/>
    <w:rsid w:val="00F17EAF"/>
    <w:rsid w:val="00FB5588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618C"/>
  <w15:chartTrackingRefBased/>
  <w15:docId w15:val="{C045F8F4-5401-47DB-88B5-26D6079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6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8A01-C871-4F34-A690-74678F51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6953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Nymburský</dc:creator>
  <cp:keywords/>
  <dc:description/>
  <cp:lastModifiedBy>Barbora Menna Tesařová</cp:lastModifiedBy>
  <cp:revision>2</cp:revision>
  <cp:lastPrinted>2018-02-20T15:18:00Z</cp:lastPrinted>
  <dcterms:created xsi:type="dcterms:W3CDTF">2018-02-20T15:19:00Z</dcterms:created>
  <dcterms:modified xsi:type="dcterms:W3CDTF">2018-02-20T15:19:00Z</dcterms:modified>
</cp:coreProperties>
</file>